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93" w:rsidRDefault="00597D93" w:rsidP="00597D93">
      <w:pPr>
        <w:pBdr>
          <w:top w:val="single" w:sz="4" w:space="1" w:color="auto"/>
          <w:left w:val="single" w:sz="4" w:space="4" w:color="auto"/>
          <w:bottom w:val="single" w:sz="4" w:space="1" w:color="auto"/>
          <w:right w:val="single" w:sz="4" w:space="4" w:color="auto"/>
        </w:pBdr>
        <w:rPr>
          <w:rFonts w:ascii="Comic Sans MS" w:hAnsi="Comic Sans MS"/>
          <w:sz w:val="22"/>
          <w:szCs w:val="22"/>
        </w:rPr>
      </w:pPr>
      <w:r>
        <w:rPr>
          <w:rFonts w:ascii="Comic Sans MS" w:hAnsi="Comic Sans MS"/>
          <w:sz w:val="22"/>
          <w:szCs w:val="22"/>
        </w:rPr>
        <w:t>CORRECTION DE L’EXERCICE   « LES HOMMES A UTERUS »</w:t>
      </w:r>
    </w:p>
    <w:p w:rsidR="00597D93" w:rsidRDefault="00597D93" w:rsidP="00597D93">
      <w:pPr>
        <w:rPr>
          <w:rFonts w:ascii="Comic Sans MS" w:hAnsi="Comic Sans MS"/>
          <w:sz w:val="22"/>
          <w:szCs w:val="22"/>
        </w:rPr>
      </w:pPr>
    </w:p>
    <w:p w:rsidR="00597D93" w:rsidRDefault="00597D93" w:rsidP="00597D93">
      <w:pPr>
        <w:rPr>
          <w:rFonts w:ascii="Comic Sans MS" w:hAnsi="Comic Sans MS"/>
          <w:sz w:val="22"/>
          <w:szCs w:val="22"/>
        </w:rPr>
      </w:pPr>
    </w:p>
    <w:p w:rsidR="00597D93" w:rsidRPr="00597D93" w:rsidRDefault="00597D93" w:rsidP="00597D93">
      <w:pPr>
        <w:ind w:left="-993" w:right="-1188"/>
        <w:rPr>
          <w:rFonts w:ascii="Comic Sans MS" w:hAnsi="Comic Sans MS"/>
          <w:b/>
          <w:sz w:val="22"/>
          <w:szCs w:val="22"/>
          <w:u w:val="single"/>
        </w:rPr>
      </w:pPr>
      <w:r w:rsidRPr="00597D93">
        <w:rPr>
          <w:rFonts w:ascii="Comic Sans MS" w:hAnsi="Comic Sans MS"/>
          <w:b/>
          <w:sz w:val="22"/>
          <w:szCs w:val="22"/>
          <w:u w:val="single"/>
        </w:rPr>
        <w:t>EXERCICE N°6 p 290  </w:t>
      </w:r>
      <w:r w:rsidRPr="00597D93">
        <w:rPr>
          <w:rFonts w:ascii="Comic Sans MS" w:hAnsi="Comic Sans MS" w:cs="Arial"/>
          <w:b/>
          <w:bCs/>
          <w:sz w:val="22"/>
          <w:szCs w:val="22"/>
          <w:u w:val="single"/>
        </w:rPr>
        <w:t>: EXPLOITATION DE DOCUMENTS ASSOCIEE AUX CONNAISSANCES</w:t>
      </w:r>
      <w:r w:rsidRPr="00597D93">
        <w:rPr>
          <w:rFonts w:ascii="Comic Sans MS" w:eastAsia="Calibri" w:hAnsi="Comic Sans MS"/>
          <w:b/>
          <w:sz w:val="22"/>
          <w:szCs w:val="22"/>
          <w:u w:val="single"/>
        </w:rPr>
        <w:t xml:space="preserve">.  </w:t>
      </w:r>
    </w:p>
    <w:p w:rsidR="00597D93" w:rsidRDefault="00597D93" w:rsidP="00597D93">
      <w:pPr>
        <w:ind w:left="-993" w:right="-1188"/>
        <w:rPr>
          <w:rFonts w:ascii="Comic Sans MS" w:eastAsia="Calibri" w:hAnsi="Comic Sans MS"/>
          <w:b/>
          <w:u w:val="single"/>
        </w:rPr>
      </w:pPr>
    </w:p>
    <w:p w:rsidR="00597D93" w:rsidRPr="00F04ED2" w:rsidRDefault="00597D93" w:rsidP="00597D93">
      <w:pPr>
        <w:ind w:left="-993" w:right="-1188"/>
        <w:rPr>
          <w:rFonts w:ascii="Comic Sans MS" w:hAnsi="Comic Sans MS" w:cs="Arial"/>
          <w:b/>
          <w:bCs/>
          <w:i/>
          <w:sz w:val="22"/>
          <w:szCs w:val="22"/>
          <w:u w:val="single"/>
        </w:rPr>
      </w:pPr>
      <w:r w:rsidRPr="00F04ED2">
        <w:rPr>
          <w:rFonts w:ascii="Comic Sans MS" w:eastAsia="Calibri" w:hAnsi="Comic Sans MS"/>
          <w:i/>
          <w:sz w:val="22"/>
          <w:szCs w:val="22"/>
        </w:rPr>
        <w:t xml:space="preserve">On se propose de mettre en relation les informations des documents et de les associer à quelques connaissances pour expliquer </w:t>
      </w:r>
      <w:r w:rsidRPr="00CA06E4">
        <w:rPr>
          <w:rFonts w:ascii="Comic Sans MS" w:eastAsia="Calibri" w:hAnsi="Comic Sans MS"/>
          <w:b/>
          <w:i/>
          <w:sz w:val="22"/>
          <w:szCs w:val="22"/>
          <w:u w:val="single"/>
        </w:rPr>
        <w:t>l’origine du phénotype sexuel</w:t>
      </w:r>
      <w:r w:rsidRPr="00F04ED2">
        <w:rPr>
          <w:rFonts w:ascii="Comic Sans MS" w:eastAsia="Calibri" w:hAnsi="Comic Sans MS"/>
          <w:i/>
          <w:sz w:val="22"/>
          <w:szCs w:val="22"/>
        </w:rPr>
        <w:t xml:space="preserve"> de l’homme n° 1 et proposer une hypothèse explicative pour l’homme n°2 sachant qu’ils n’ont pas d’anomalie chromosomi</w:t>
      </w:r>
      <w:r>
        <w:rPr>
          <w:rFonts w:ascii="Comic Sans MS" w:eastAsia="Calibri" w:hAnsi="Comic Sans MS"/>
          <w:i/>
          <w:sz w:val="22"/>
          <w:szCs w:val="22"/>
        </w:rPr>
        <w:t>que</w:t>
      </w:r>
      <w:r w:rsidRPr="00F04ED2">
        <w:rPr>
          <w:rFonts w:ascii="Comic Sans MS" w:eastAsia="Calibri" w:hAnsi="Comic Sans MS"/>
          <w:i/>
          <w:sz w:val="22"/>
          <w:szCs w:val="22"/>
        </w:rPr>
        <w:t>.</w:t>
      </w:r>
      <w:r w:rsidRPr="00F04ED2">
        <w:rPr>
          <w:rFonts w:ascii="Comic Sans MS" w:eastAsia="Calibri" w:hAnsi="Comic Sans MS"/>
          <w:b/>
          <w:i/>
          <w:sz w:val="22"/>
          <w:szCs w:val="22"/>
          <w:u w:val="single"/>
        </w:rPr>
        <w:t xml:space="preserve">                                      </w:t>
      </w:r>
    </w:p>
    <w:p w:rsidR="00597D93" w:rsidRDefault="00597D93" w:rsidP="00597D93">
      <w:pPr>
        <w:ind w:right="-851"/>
        <w:rPr>
          <w:rFonts w:ascii="Comic Sans MS" w:hAnsi="Comic Sans MS"/>
          <w:sz w:val="22"/>
          <w:szCs w:val="22"/>
        </w:rPr>
      </w:pPr>
    </w:p>
    <w:p w:rsidR="00597D93" w:rsidRDefault="00597D93" w:rsidP="00597D93">
      <w:pPr>
        <w:numPr>
          <w:ilvl w:val="0"/>
          <w:numId w:val="2"/>
        </w:numPr>
        <w:ind w:left="-851" w:right="-851" w:firstLine="218"/>
        <w:rPr>
          <w:rFonts w:ascii="Comic Sans MS" w:hAnsi="Comic Sans MS"/>
          <w:sz w:val="22"/>
          <w:szCs w:val="22"/>
        </w:rPr>
      </w:pPr>
      <w:r>
        <w:rPr>
          <w:rFonts w:ascii="Comic Sans MS" w:hAnsi="Comic Sans MS"/>
          <w:sz w:val="22"/>
          <w:szCs w:val="22"/>
        </w:rPr>
        <w:t xml:space="preserve">Grâce au </w:t>
      </w:r>
      <w:r w:rsidRPr="00F04ED2">
        <w:rPr>
          <w:rFonts w:ascii="Comic Sans MS" w:hAnsi="Comic Sans MS"/>
          <w:sz w:val="22"/>
          <w:szCs w:val="22"/>
          <w:u w:val="single"/>
        </w:rPr>
        <w:t>doc.1</w:t>
      </w:r>
      <w:r>
        <w:rPr>
          <w:rFonts w:ascii="Comic Sans MS" w:hAnsi="Comic Sans MS"/>
          <w:sz w:val="22"/>
          <w:szCs w:val="22"/>
        </w:rPr>
        <w:t>, nous apprenons que ces deux hommes ont un phénotype sexuel particulier : ils ont des gonades, des voies génitales et un organe externe mâles normaux. Par contre, ils ont aussi un utérus.</w:t>
      </w:r>
    </w:p>
    <w:p w:rsidR="00597D93" w:rsidRDefault="00597D93" w:rsidP="00597D93">
      <w:pPr>
        <w:ind w:left="-633" w:right="-851"/>
        <w:rPr>
          <w:rFonts w:ascii="Comic Sans MS" w:hAnsi="Comic Sans MS"/>
          <w:sz w:val="22"/>
          <w:szCs w:val="22"/>
        </w:rPr>
      </w:pPr>
    </w:p>
    <w:p w:rsidR="00597D93" w:rsidRPr="00184428" w:rsidRDefault="00597D93" w:rsidP="00597D93">
      <w:pPr>
        <w:numPr>
          <w:ilvl w:val="0"/>
          <w:numId w:val="2"/>
        </w:numPr>
        <w:ind w:left="-851" w:right="-851" w:firstLine="218"/>
        <w:rPr>
          <w:rFonts w:ascii="Arial" w:hAnsi="Arial" w:cs="Arial"/>
          <w:sz w:val="22"/>
          <w:szCs w:val="22"/>
        </w:rPr>
      </w:pPr>
      <w:r>
        <w:rPr>
          <w:rFonts w:ascii="Comic Sans MS" w:hAnsi="Comic Sans MS"/>
          <w:sz w:val="22"/>
          <w:szCs w:val="22"/>
        </w:rPr>
        <w:t xml:space="preserve">A partir des </w:t>
      </w:r>
      <w:r>
        <w:rPr>
          <w:rFonts w:ascii="Comic Sans MS" w:hAnsi="Comic Sans MS"/>
          <w:sz w:val="22"/>
          <w:szCs w:val="22"/>
          <w:u w:val="single"/>
        </w:rPr>
        <w:t>doc.</w:t>
      </w:r>
      <w:r w:rsidRPr="00F04ED2">
        <w:rPr>
          <w:rFonts w:ascii="Comic Sans MS" w:hAnsi="Comic Sans MS"/>
          <w:sz w:val="22"/>
          <w:szCs w:val="22"/>
          <w:u w:val="single"/>
        </w:rPr>
        <w:t xml:space="preserve"> 2 et 3</w:t>
      </w:r>
      <w:r>
        <w:rPr>
          <w:rFonts w:ascii="Comic Sans MS" w:hAnsi="Comic Sans MS"/>
          <w:sz w:val="22"/>
          <w:szCs w:val="22"/>
        </w:rPr>
        <w:t xml:space="preserve">, nous observons que ces hommes ont une sécrétion normale de testostérone car comme chez l’homme sain, cette dernière est très faible à la naissance et augmente brutalement à la puberté (450ng pour 100mL de sang). Cette hormone mâle permet le maintien des canaux de Wolff qui évoluent en voies génitales </w:t>
      </w:r>
      <w:r>
        <w:rPr>
          <w:rFonts w:ascii="Arial" w:hAnsi="Arial" w:cs="Arial"/>
          <w:sz w:val="22"/>
          <w:szCs w:val="22"/>
        </w:rPr>
        <w:t>♂</w:t>
      </w:r>
      <w:r>
        <w:rPr>
          <w:rFonts w:ascii="Comic Sans MS" w:hAnsi="Comic Sans MS"/>
          <w:sz w:val="22"/>
          <w:szCs w:val="22"/>
        </w:rPr>
        <w:t xml:space="preserve"> (épididymes et spermiductes) lors de la grossesse et elle assure le développement des gonades et des autres organes génitaux à la puberté. Ce taux de testostérone explique donc l’existence d’un phénotype sexuel </w:t>
      </w:r>
      <w:r>
        <w:rPr>
          <w:rFonts w:ascii="Arial" w:hAnsi="Arial" w:cs="Arial"/>
          <w:sz w:val="22"/>
          <w:szCs w:val="22"/>
        </w:rPr>
        <w:t xml:space="preserve">♂ </w:t>
      </w:r>
      <w:r w:rsidRPr="008F4DDD">
        <w:rPr>
          <w:rFonts w:ascii="Comic Sans MS" w:hAnsi="Comic Sans MS" w:cs="Arial"/>
          <w:sz w:val="22"/>
          <w:szCs w:val="22"/>
        </w:rPr>
        <w:t>fonctionnel.</w:t>
      </w:r>
    </w:p>
    <w:p w:rsidR="00597D93" w:rsidRDefault="00597D93" w:rsidP="00597D93">
      <w:pPr>
        <w:pStyle w:val="Paragraphedeliste"/>
        <w:rPr>
          <w:rFonts w:ascii="Arial" w:hAnsi="Arial" w:cs="Arial"/>
          <w:sz w:val="22"/>
          <w:szCs w:val="22"/>
        </w:rPr>
      </w:pPr>
    </w:p>
    <w:p w:rsidR="00597D93" w:rsidRPr="00184428" w:rsidRDefault="00597D93" w:rsidP="00597D93">
      <w:pPr>
        <w:numPr>
          <w:ilvl w:val="0"/>
          <w:numId w:val="2"/>
        </w:numPr>
        <w:ind w:left="-851" w:right="-851" w:firstLine="218"/>
        <w:rPr>
          <w:rFonts w:ascii="Arial" w:hAnsi="Arial" w:cs="Arial"/>
          <w:sz w:val="22"/>
          <w:szCs w:val="22"/>
        </w:rPr>
      </w:pPr>
      <w:r w:rsidRPr="00184428">
        <w:rPr>
          <w:rFonts w:ascii="Comic Sans MS" w:hAnsi="Comic Sans MS"/>
          <w:sz w:val="22"/>
          <w:szCs w:val="22"/>
        </w:rPr>
        <w:t xml:space="preserve">On voit aussi qu’un homme normal a un taux d’AMH maximal à la naissance puis qui diminue jusqu’à la puberté  pour atteindre 30ng/100mL. Ce n’est pas le cas chez l’homme à utérus </w:t>
      </w:r>
      <w:r w:rsidRPr="00184428">
        <w:rPr>
          <w:rFonts w:ascii="Comic Sans MS" w:hAnsi="Comic Sans MS"/>
          <w:b/>
          <w:sz w:val="22"/>
          <w:szCs w:val="22"/>
        </w:rPr>
        <w:t>n°1</w:t>
      </w:r>
      <w:r w:rsidRPr="00184428">
        <w:rPr>
          <w:rFonts w:ascii="Comic Sans MS" w:hAnsi="Comic Sans MS"/>
          <w:sz w:val="22"/>
          <w:szCs w:val="22"/>
        </w:rPr>
        <w:t xml:space="preserve"> qui, dès la naissance, ne sécrète pas ou très peu d’AMH.  Cette hormone anti-müllérienne  assure la régression des canaux de Müller qui évoluent en voies génitales </w:t>
      </w:r>
      <w:r w:rsidRPr="00184428">
        <w:rPr>
          <w:rFonts w:ascii="Arial" w:hAnsi="Arial" w:cs="Arial"/>
          <w:sz w:val="22"/>
          <w:szCs w:val="22"/>
        </w:rPr>
        <w:t xml:space="preserve">♀ </w:t>
      </w:r>
      <w:r w:rsidRPr="00184428">
        <w:rPr>
          <w:rFonts w:ascii="Comic Sans MS" w:hAnsi="Comic Sans MS" w:cs="Arial"/>
          <w:sz w:val="22"/>
          <w:szCs w:val="22"/>
        </w:rPr>
        <w:t xml:space="preserve">(utérus et vagin). Ainsi en absence d’AMH, les canaux de Müller persistent et évoluent en utérus chez l’homme </w:t>
      </w:r>
      <w:r w:rsidRPr="00184428">
        <w:rPr>
          <w:rFonts w:ascii="Comic Sans MS" w:hAnsi="Comic Sans MS"/>
          <w:b/>
          <w:sz w:val="22"/>
          <w:szCs w:val="22"/>
        </w:rPr>
        <w:t xml:space="preserve">n°1. </w:t>
      </w:r>
      <w:r w:rsidRPr="00184428">
        <w:rPr>
          <w:rFonts w:ascii="Comic Sans MS" w:hAnsi="Comic Sans MS"/>
          <w:sz w:val="22"/>
          <w:szCs w:val="22"/>
        </w:rPr>
        <w:t xml:space="preserve">Le </w:t>
      </w:r>
      <w:r w:rsidRPr="00184428">
        <w:rPr>
          <w:rFonts w:ascii="Comic Sans MS" w:hAnsi="Comic Sans MS"/>
          <w:sz w:val="22"/>
          <w:szCs w:val="22"/>
          <w:u w:val="single"/>
        </w:rPr>
        <w:t>document 4</w:t>
      </w:r>
      <w:r w:rsidRPr="00184428">
        <w:rPr>
          <w:rFonts w:ascii="Comic Sans MS" w:hAnsi="Comic Sans MS"/>
          <w:sz w:val="22"/>
          <w:szCs w:val="22"/>
        </w:rPr>
        <w:t xml:space="preserve"> montre que le gène codant l’AMH a subi une mutation par substitution (Thymine au lieu de Guanine). L’ARNm de l’</w:t>
      </w:r>
      <w:r>
        <w:rPr>
          <w:rFonts w:ascii="Comic Sans MS" w:hAnsi="Comic Sans MS"/>
          <w:sz w:val="22"/>
          <w:szCs w:val="22"/>
        </w:rPr>
        <w:t xml:space="preserve">homme à utérus n°1 a </w:t>
      </w:r>
      <w:r w:rsidRPr="00184428">
        <w:rPr>
          <w:rFonts w:ascii="Comic Sans MS" w:hAnsi="Comic Sans MS"/>
          <w:sz w:val="22"/>
          <w:szCs w:val="22"/>
        </w:rPr>
        <w:t>un codon stop UAA : la protéine</w:t>
      </w:r>
      <w:r>
        <w:rPr>
          <w:rFonts w:ascii="Comic Sans MS" w:hAnsi="Comic Sans MS"/>
          <w:sz w:val="22"/>
          <w:szCs w:val="22"/>
        </w:rPr>
        <w:t xml:space="preserve"> AMH est</w:t>
      </w:r>
      <w:r w:rsidRPr="00184428">
        <w:rPr>
          <w:rFonts w:ascii="Comic Sans MS" w:hAnsi="Comic Sans MS"/>
          <w:sz w:val="22"/>
          <w:szCs w:val="22"/>
        </w:rPr>
        <w:t xml:space="preserve"> raccourcie donc différente</w:t>
      </w:r>
      <w:r>
        <w:rPr>
          <w:rFonts w:ascii="Comic Sans MS" w:hAnsi="Comic Sans MS"/>
          <w:sz w:val="22"/>
          <w:szCs w:val="22"/>
        </w:rPr>
        <w:t>.</w:t>
      </w:r>
    </w:p>
    <w:p w:rsidR="00597D93" w:rsidRDefault="00597D93" w:rsidP="00597D93">
      <w:pPr>
        <w:ind w:left="-851" w:right="-851"/>
        <w:rPr>
          <w:rFonts w:ascii="Comic Sans MS" w:hAnsi="Comic Sans MS"/>
          <w:sz w:val="22"/>
          <w:szCs w:val="22"/>
        </w:rPr>
      </w:pPr>
    </w:p>
    <w:p w:rsidR="00597D93" w:rsidRDefault="00597D93" w:rsidP="00597D93">
      <w:pPr>
        <w:numPr>
          <w:ilvl w:val="0"/>
          <w:numId w:val="2"/>
        </w:numPr>
        <w:ind w:left="-851" w:right="-851" w:firstLine="218"/>
        <w:rPr>
          <w:rFonts w:ascii="Comic Sans MS" w:hAnsi="Comic Sans MS"/>
          <w:sz w:val="22"/>
          <w:szCs w:val="22"/>
        </w:rPr>
      </w:pPr>
      <w:r>
        <w:rPr>
          <w:rFonts w:ascii="Comic Sans MS" w:hAnsi="Comic Sans MS"/>
          <w:sz w:val="22"/>
          <w:szCs w:val="22"/>
        </w:rPr>
        <w:t>L’homme à utérus n°2 a une sécrétion normale d’AMH ; le gène codant cette hormone n’est pas muté : la protéine AMH sera normale et fonctionnelle.</w:t>
      </w:r>
    </w:p>
    <w:p w:rsidR="00597D93" w:rsidRDefault="00597D93" w:rsidP="00597D93">
      <w:pPr>
        <w:pStyle w:val="Paragraphedeliste"/>
        <w:ind w:left="-851"/>
        <w:rPr>
          <w:rFonts w:ascii="Comic Sans MS" w:hAnsi="Comic Sans MS"/>
          <w:sz w:val="22"/>
          <w:szCs w:val="22"/>
        </w:rPr>
      </w:pPr>
      <w:r>
        <w:rPr>
          <w:rFonts w:ascii="Comic Sans MS" w:hAnsi="Comic Sans MS"/>
          <w:sz w:val="22"/>
          <w:szCs w:val="22"/>
        </w:rPr>
        <w:t>On peut donc émettre l’hypothèse que les cellules cibles de l’AMH n’ont pas de récepteurs ou ont des récepteurs non fonctionnels. Par conséquent, l’hormone ne peut se fixer et donc agir d’où le maintien des canaux de Müller qui évoluent en utérus lors de la grossesse.</w:t>
      </w:r>
    </w:p>
    <w:p w:rsidR="00597D93" w:rsidRDefault="00597D93" w:rsidP="00597D93">
      <w:pPr>
        <w:pStyle w:val="Paragraphedeliste"/>
        <w:ind w:left="-284"/>
        <w:rPr>
          <w:rFonts w:ascii="Comic Sans MS" w:hAnsi="Comic Sans MS"/>
          <w:sz w:val="22"/>
          <w:szCs w:val="22"/>
        </w:rPr>
      </w:pPr>
    </w:p>
    <w:p w:rsidR="00597D93" w:rsidRDefault="00597D93" w:rsidP="00597D93">
      <w:pPr>
        <w:pStyle w:val="Paragraphedeliste"/>
        <w:ind w:left="-284"/>
        <w:rPr>
          <w:rFonts w:ascii="Comic Sans MS" w:hAnsi="Comic Sans MS"/>
          <w:sz w:val="22"/>
          <w:szCs w:val="22"/>
        </w:rPr>
      </w:pPr>
    </w:p>
    <w:p w:rsidR="00597D93" w:rsidRDefault="00597D93" w:rsidP="00597D93">
      <w:pPr>
        <w:ind w:left="-851" w:right="-851"/>
        <w:rPr>
          <w:rFonts w:ascii="Comic Sans MS" w:hAnsi="Comic Sans MS"/>
          <w:b/>
          <w:sz w:val="22"/>
          <w:szCs w:val="22"/>
        </w:rPr>
      </w:pPr>
      <w:r w:rsidRPr="00CA06E4">
        <w:rPr>
          <w:rFonts w:ascii="Comic Sans MS" w:hAnsi="Comic Sans MS"/>
          <w:b/>
          <w:sz w:val="22"/>
          <w:szCs w:val="22"/>
          <w:u w:val="single"/>
        </w:rPr>
        <w:t>Conclusion </w:t>
      </w:r>
      <w:r>
        <w:rPr>
          <w:rFonts w:ascii="Comic Sans MS" w:hAnsi="Comic Sans MS"/>
          <w:b/>
          <w:sz w:val="22"/>
          <w:szCs w:val="22"/>
        </w:rPr>
        <w:t>: les hommes ont un utérus en raison d’un problème au niveau de l’AMH qui :</w:t>
      </w:r>
    </w:p>
    <w:p w:rsidR="00597D93" w:rsidRDefault="00597D93" w:rsidP="00597D93">
      <w:pPr>
        <w:numPr>
          <w:ilvl w:val="0"/>
          <w:numId w:val="1"/>
        </w:numPr>
        <w:ind w:right="-851"/>
        <w:rPr>
          <w:rFonts w:ascii="Comic Sans MS" w:hAnsi="Comic Sans MS"/>
          <w:b/>
          <w:sz w:val="22"/>
          <w:szCs w:val="22"/>
        </w:rPr>
      </w:pPr>
      <w:r>
        <w:rPr>
          <w:rFonts w:ascii="Comic Sans MS" w:hAnsi="Comic Sans MS"/>
          <w:b/>
          <w:sz w:val="22"/>
          <w:szCs w:val="22"/>
        </w:rPr>
        <w:t>est absente pour le cas n°1 en raison du gène de l’AMH muté.</w:t>
      </w:r>
    </w:p>
    <w:p w:rsidR="00597D93" w:rsidRPr="00CA06E4" w:rsidRDefault="00597D93" w:rsidP="00597D93">
      <w:pPr>
        <w:numPr>
          <w:ilvl w:val="0"/>
          <w:numId w:val="1"/>
        </w:numPr>
        <w:ind w:right="-851"/>
        <w:rPr>
          <w:rFonts w:ascii="Comic Sans MS" w:hAnsi="Comic Sans MS"/>
          <w:b/>
          <w:sz w:val="22"/>
          <w:szCs w:val="22"/>
        </w:rPr>
      </w:pPr>
      <w:r>
        <w:rPr>
          <w:rFonts w:ascii="Comic Sans MS" w:hAnsi="Comic Sans MS"/>
          <w:b/>
          <w:sz w:val="22"/>
          <w:szCs w:val="22"/>
        </w:rPr>
        <w:t>ne peut agir sur les cellules cibles dans le cas n°2.</w:t>
      </w:r>
    </w:p>
    <w:p w:rsidR="00597D93" w:rsidRDefault="00597D93" w:rsidP="00597D93">
      <w:pPr>
        <w:pStyle w:val="Paragraphedeliste"/>
        <w:rPr>
          <w:rFonts w:ascii="Comic Sans MS" w:hAnsi="Comic Sans MS"/>
          <w:sz w:val="22"/>
          <w:szCs w:val="22"/>
        </w:rPr>
      </w:pPr>
    </w:p>
    <w:p w:rsidR="00C71B1F" w:rsidRDefault="00C71B1F"/>
    <w:sectPr w:rsidR="00C71B1F" w:rsidSect="00C71B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B38D3"/>
    <w:multiLevelType w:val="hybridMultilevel"/>
    <w:tmpl w:val="C652B156"/>
    <w:lvl w:ilvl="0" w:tplc="0BFACF7E">
      <w:start w:val="1"/>
      <w:numFmt w:val="bullet"/>
      <w:lvlText w:val=""/>
      <w:lvlJc w:val="left"/>
      <w:pPr>
        <w:ind w:left="529" w:hanging="360"/>
      </w:pPr>
      <w:rPr>
        <w:rFonts w:ascii="Symbol" w:eastAsia="Times New Roman" w:hAnsi="Symbol" w:cs="Times New Roman" w:hint="default"/>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
    <w:nsid w:val="7E2D6734"/>
    <w:multiLevelType w:val="hybridMultilevel"/>
    <w:tmpl w:val="E036049A"/>
    <w:lvl w:ilvl="0" w:tplc="040C000B">
      <w:start w:val="1"/>
      <w:numFmt w:val="bullet"/>
      <w:lvlText w:val=""/>
      <w:lvlJc w:val="left"/>
      <w:pPr>
        <w:ind w:left="-273" w:hanging="360"/>
      </w:pPr>
      <w:rPr>
        <w:rFonts w:ascii="Wingdings" w:hAnsi="Wingdings"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7D93"/>
    <w:rsid w:val="00597D93"/>
    <w:rsid w:val="00C71B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9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7D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2123</Characters>
  <Application>Microsoft Office Word</Application>
  <DocSecurity>0</DocSecurity>
  <Lines>17</Lines>
  <Paragraphs>5</Paragraphs>
  <ScaleCrop>false</ScaleCrop>
  <Company>Région Rhône-Alpes</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admin.profil</dc:creator>
  <cp:keywords/>
  <dc:description/>
  <cp:lastModifiedBy>admin.profil</cp:lastModifiedBy>
  <cp:revision>1</cp:revision>
  <dcterms:created xsi:type="dcterms:W3CDTF">2014-03-21T10:09:00Z</dcterms:created>
  <dcterms:modified xsi:type="dcterms:W3CDTF">2014-03-21T10:12:00Z</dcterms:modified>
</cp:coreProperties>
</file>